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bidi/>
        <w:rPr>
          <w:b/>
          <w:bCs/>
          <w:color w:val="ff0000"/>
          <w:sz w:val="32"/>
          <w:szCs w:val="32"/>
          <w:rtl/>
        </w:rPr>
      </w:pPr>
      <w:r>
        <w:rPr>
          <w:rFonts w:ascii="Times New Roman" w:cs="Times New Roman" w:hAnsi="Times New Roman"/>
          <w:b/>
          <w:bCs/>
          <w:noProof/>
          <w:sz w:val="28"/>
          <w:szCs w:val="28"/>
          <w:u w:val="single"/>
        </w:rPr>
        <w:drawing>
          <wp:anchor distT="0" distB="0" distL="114300" distR="114300" simplePos="false" relativeHeight="3" behindDoc="true" locked="false" layoutInCell="true" allowOverlap="true">
            <wp:simplePos x="0" y="0"/>
            <wp:positionH relativeFrom="column">
              <wp:posOffset>-297815</wp:posOffset>
            </wp:positionH>
            <wp:positionV relativeFrom="paragraph">
              <wp:posOffset>0</wp:posOffset>
            </wp:positionV>
            <wp:extent cx="986790" cy="680085"/>
            <wp:effectExtent l="0" t="0" r="3810" b="5715"/>
            <wp:wrapTight wrapText="bothSides">
              <wp:wrapPolygon edited="false">
                <wp:start x="0" y="0"/>
                <wp:lineTo x="0" y="21176"/>
                <wp:lineTo x="21266" y="21176"/>
                <wp:lineTo x="21266" y="0"/>
                <wp:lineTo x="0" y="0"/>
              </wp:wrapPolygon>
            </wp:wrapTight>
            <wp:docPr id="1026" name="Picture 1" descr="A logo of a group of people&#10;&#10;Description automatically generated"/>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986790" cy="680085"/>
                    </a:xfrm>
                    <a:prstGeom prst="rect"/>
                  </pic:spPr>
                </pic:pic>
              </a:graphicData>
            </a:graphic>
            <wp14:sizeRelV relativeFrom="margin">
              <wp14:pctHeight>0</wp14:pctHeight>
            </wp14:sizeRelV>
          </wp:anchor>
        </w:drawing>
      </w:r>
      <w:r>
        <w:rPr>
          <w:rFonts w:ascii="Times New Roman" w:cs="Times New Roman" w:hAnsi="Times New Roman"/>
          <w:b/>
          <w:bCs/>
          <w:noProof/>
          <w:sz w:val="28"/>
          <w:szCs w:val="28"/>
          <w:u w:val="single"/>
        </w:rPr>
        <w:drawing>
          <wp:anchor distT="0" distB="0" distL="114300" distR="114300" simplePos="false" relativeHeight="2" behindDoc="true" locked="false" layoutInCell="true" allowOverlap="true">
            <wp:simplePos x="0" y="0"/>
            <wp:positionH relativeFrom="margin">
              <wp:posOffset>5316279</wp:posOffset>
            </wp:positionH>
            <wp:positionV relativeFrom="paragraph">
              <wp:posOffset>163</wp:posOffset>
            </wp:positionV>
            <wp:extent cx="1011554" cy="722468"/>
            <wp:effectExtent l="0" t="0" r="0" b="1905"/>
            <wp:wrapTight wrapText="bothSides">
              <wp:wrapPolygon edited="false">
                <wp:start x="0" y="0"/>
                <wp:lineTo x="0" y="21087"/>
                <wp:lineTo x="21153" y="21087"/>
                <wp:lineTo x="21153" y="0"/>
                <wp:lineTo x="0" y="0"/>
              </wp:wrapPolygon>
            </wp:wrapTight>
            <wp:docPr id="1027" name="Picture 2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20"/>
                    <pic:cNvPicPr/>
                  </pic:nvPicPr>
                  <pic:blipFill>
                    <a:blip r:embed="rId3" cstate="print"/>
                    <a:srcRect l="0" t="0" r="0" b="0"/>
                    <a:stretch/>
                  </pic:blipFill>
                  <pic:spPr>
                    <a:xfrm rot="0">
                      <a:off x="0" y="0"/>
                      <a:ext cx="1011554" cy="722468"/>
                    </a:xfrm>
                    <a:prstGeom prst="rect"/>
                  </pic:spPr>
                </pic:pic>
              </a:graphicData>
            </a:graphic>
            <wp14:sizeRelV relativeFrom="margin">
              <wp14:pctHeight>0</wp14:pctHeight>
            </wp14:sizeRelV>
          </wp:anchor>
        </w:drawing>
      </w:r>
    </w:p>
    <w:p>
      <w:pPr>
        <w:pStyle w:val="style0"/>
        <w:bidi/>
        <w:rPr>
          <w:b/>
          <w:bCs/>
          <w:color w:val="ff0000"/>
          <w:sz w:val="32"/>
          <w:szCs w:val="32"/>
          <w:rtl/>
        </w:rPr>
      </w:pPr>
    </w:p>
    <w:p>
      <w:pPr>
        <w:pStyle w:val="style0"/>
        <w:bidi/>
        <w:rPr>
          <w:b/>
          <w:bCs/>
          <w:color w:val="ff0000"/>
          <w:rtl/>
        </w:rPr>
      </w:pPr>
      <w:r>
        <w:rPr>
          <w:rFonts w:hint="cs"/>
          <w:b/>
          <w:bCs/>
          <w:color w:val="ff0000"/>
          <w:rtl/>
        </w:rPr>
        <w:t xml:space="preserve">جامعه الزقازيق </w:t>
      </w:r>
    </w:p>
    <w:p>
      <w:pPr>
        <w:pStyle w:val="style0"/>
        <w:bidi/>
        <w:rPr>
          <w:b/>
          <w:bCs/>
          <w:color w:val="ff0000"/>
          <w:rtl/>
        </w:rPr>
      </w:pPr>
      <w:r>
        <w:rPr>
          <w:rFonts w:hint="cs"/>
          <w:b/>
          <w:bCs/>
          <w:color w:val="ff0000"/>
          <w:rtl/>
        </w:rPr>
        <w:t xml:space="preserve">كليه الطب البشرى </w:t>
      </w:r>
    </w:p>
    <w:p>
      <w:pPr>
        <w:pStyle w:val="style0"/>
        <w:bidi/>
        <w:rPr>
          <w:b/>
          <w:bCs/>
          <w:color w:val="ff0000"/>
          <w:rtl/>
        </w:rPr>
      </w:pPr>
      <w:r>
        <w:rPr>
          <w:b/>
          <w:bCs/>
          <w:color w:val="ff0000"/>
          <w:rtl/>
        </w:rPr>
        <w:t>قسم الصحة العامة وطب المجتمع</w:t>
      </w:r>
    </w:p>
    <w:p>
      <w:pPr>
        <w:pStyle w:val="style0"/>
        <w:bidi/>
        <w:jc w:val="center"/>
        <w:rPr>
          <w:b/>
          <w:bCs/>
          <w:color w:val="ff0000"/>
          <w:sz w:val="32"/>
          <w:szCs w:val="32"/>
        </w:rPr>
      </w:pPr>
      <w:r>
        <w:rPr>
          <w:b/>
          <w:bCs/>
          <w:color w:val="ff0000"/>
          <w:sz w:val="32"/>
          <w:szCs w:val="32"/>
          <w:rtl/>
        </w:rPr>
        <w:t>دور قسم الصحة العامة وطب المجتمع</w:t>
      </w:r>
    </w:p>
    <w:p>
      <w:pPr>
        <w:pStyle w:val="style0"/>
        <w:bidi/>
        <w:jc w:val="both"/>
        <w:rPr>
          <w:b/>
          <w:bCs/>
        </w:rPr>
      </w:pPr>
      <w:r>
        <w:rPr>
          <w:b/>
          <w:bCs/>
          <w:rtl/>
        </w:rPr>
        <w:t>التعليم الطبي</w:t>
      </w:r>
    </w:p>
    <w:p>
      <w:pPr>
        <w:pStyle w:val="style0"/>
        <w:bidi/>
        <w:jc w:val="both"/>
        <w:rPr/>
      </w:pPr>
      <w:r>
        <w:rPr>
          <w:rtl/>
        </w:rPr>
        <w:t>قسم الصحة العامة وطب المجتمع في جامعة الزقازيق يلعب دورًا حيويًا في التعليم الطبي من خلال تقديم برامج تعليمية متكاملة تشمل الجوانب النظرية والعملية. يتم تدريس مقررات الصحة العامة وطب المجتمع لطلاب الطب في السنوات الدراسية المختلفة، حيث يتعلم الطلاب مبادئ الوقاية من الأمراض، وتعزيز الصحة، وإدارة الأوبئة. كما يقدم القسم برامج دراسات عليا مثل الماجستير والدكتوراه في الصحة العامة، مما يساهم في إعداد كوادر طبية متخصصة قادرة على مواجهة التحديات الصحية المعاصرة</w:t>
      </w:r>
      <w:r>
        <w:rPr>
          <w:rFonts w:hint="cs"/>
          <w:rtl/>
        </w:rPr>
        <w:t xml:space="preserve"> كما يساهم فى التدريس فى دبلومه التغذيه العلاجيه.</w:t>
      </w:r>
    </w:p>
    <w:p>
      <w:pPr>
        <w:pStyle w:val="style0"/>
        <w:bidi/>
        <w:jc w:val="both"/>
        <w:rPr>
          <w:b/>
          <w:bCs/>
        </w:rPr>
      </w:pPr>
      <w:r>
        <w:rPr>
          <w:b/>
          <w:bCs/>
          <w:rtl/>
        </w:rPr>
        <w:t>المشاركات المجتمعية</w:t>
      </w:r>
    </w:p>
    <w:p>
      <w:pPr>
        <w:pStyle w:val="style0"/>
        <w:bidi/>
        <w:jc w:val="both"/>
        <w:rPr/>
      </w:pPr>
      <w:r>
        <w:rPr>
          <w:rtl/>
        </w:rPr>
        <w:t>يشارك القسم بفعالية في خدمة المجتمع من خلال تنظيم حملات توعية صحية وبرامج وقائية تستهدف مختلف فئات المجتمع. تشمل هذه الأنشطة التثقيف الصحي حول الأمراض المزمنة والمعدية. كما يساهم القسم في تحسين الخدمات الصحية المقدمة في المراكز الصحية والمستشفيات من خلال تقديم الاستشارات والتدريب للعاملين في المجال الصحي</w:t>
      </w:r>
      <w:r>
        <w:t>.</w:t>
      </w:r>
    </w:p>
    <w:p>
      <w:pPr>
        <w:pStyle w:val="style0"/>
        <w:bidi/>
        <w:jc w:val="both"/>
        <w:rPr>
          <w:b/>
          <w:bCs/>
        </w:rPr>
      </w:pPr>
      <w:r>
        <w:rPr>
          <w:b/>
          <w:bCs/>
          <w:rtl/>
        </w:rPr>
        <w:t>الأبحاث العلمية</w:t>
      </w:r>
    </w:p>
    <w:p>
      <w:pPr>
        <w:pStyle w:val="style0"/>
        <w:bidi/>
        <w:jc w:val="both"/>
        <w:rPr/>
      </w:pPr>
      <w:r>
        <w:rPr>
          <w:rtl/>
        </w:rPr>
        <w:t>يعتبر البحث العلمي جزءًا أساسيًا من مهام قسم الصحة العامة وطب المجتمع. يشارك أعضاء هيئة التدريس والطلاب في إجراء أبحاث تهدف إلى فهم أفضل للأمراض والوقاية منها، وتحسين جودة الرعاية الصحية. تشمل مجالات البحث الشائعة علم الأوبئة، والصحة البيئية، والصحة المهنية، وصحة الأم والطفل. يتم نشر نتائج هذه الأبحاث في مجلات علمية مرموقة، مما يساهم في تطوير المعرفة العلمية وتحسين الممارسات الصحية</w:t>
      </w:r>
      <w:r>
        <w:t>.</w:t>
      </w:r>
    </w:p>
    <w:p>
      <w:pPr>
        <w:pStyle w:val="style0"/>
        <w:bidi/>
        <w:jc w:val="both"/>
        <w:rPr>
          <w:b/>
          <w:bCs/>
        </w:rPr>
      </w:pPr>
      <w:r>
        <w:rPr>
          <w:b/>
          <w:bCs/>
          <w:rtl/>
        </w:rPr>
        <w:t>النزلات الميدانية</w:t>
      </w:r>
    </w:p>
    <w:p>
      <w:pPr>
        <w:pStyle w:val="style0"/>
        <w:bidi/>
        <w:jc w:val="both"/>
        <w:rPr/>
      </w:pPr>
      <w:r>
        <w:rPr>
          <w:rtl/>
        </w:rPr>
        <w:t>تعد النزلات الميدانية جزءًا مهمًا من التدريب العملي لطلاب الطب في قسم الصحة العامة وطب المجتمع. يتم تنظيم زيارات ميدانية إلى المراكز الصحية والمستشفيات والمجتمعات المحلية، حيث يتعلم الطلاب كيفية تطبيق المفاهيم النظرية في بيئات حقيقية. تساعد هذه التجارب الميدانية الطلاب على اكتساب مهارات عملية في تقييم الحالة الصحية للمجتمعات، وتقديم الرعاية الصحية الأولية، وتنفيذ برامج الوقاية</w:t>
      </w:r>
      <w:r>
        <w:t>.</w:t>
      </w:r>
    </w:p>
    <w:p>
      <w:pPr>
        <w:pStyle w:val="style0"/>
        <w:bidi/>
        <w:jc w:val="both"/>
        <w:rPr>
          <w:b/>
          <w:bCs/>
        </w:rPr>
      </w:pPr>
      <w:r>
        <w:rPr>
          <w:b/>
          <w:bCs/>
          <w:rtl/>
        </w:rPr>
        <w:t>تعليم أسس الإحصاء الطبي</w:t>
      </w:r>
    </w:p>
    <w:p>
      <w:pPr>
        <w:pStyle w:val="style0"/>
        <w:bidi/>
        <w:jc w:val="both"/>
        <w:rPr/>
      </w:pPr>
      <w:r>
        <w:rPr>
          <w:rtl/>
        </w:rPr>
        <w:t xml:space="preserve">يحرص قسم الصحة العامة وطب المجتمع على تعليم الطلاب أسس الإحصاء الطبي، </w:t>
      </w:r>
      <w:r>
        <w:rPr>
          <w:rFonts w:hint="cs"/>
          <w:rtl/>
          <w:lang w:bidi="ar-DZ"/>
        </w:rPr>
        <w:t xml:space="preserve">من </w:t>
      </w:r>
      <w:r>
        <w:rPr>
          <w:rtl/>
        </w:rPr>
        <w:t xml:space="preserve">حيث كيفية جمع وتحليل البيانات الصحية واستخدامها في اتخاذ القرارات الطبية. تشمل المناهج الدراسية موضوعات مثل تصميم الدراسات الإحصائية، تحليل البيانات باستخدام البرامج الإحصائية، وتفسير </w:t>
      </w:r>
      <w:r>
        <w:rPr>
          <w:rFonts w:hint="cs"/>
          <w:rtl/>
          <w:lang w:bidi="ar-DZ"/>
        </w:rPr>
        <w:t xml:space="preserve">تلك </w:t>
      </w:r>
      <w:r>
        <w:rPr>
          <w:rtl/>
        </w:rPr>
        <w:t>النتائج</w:t>
      </w:r>
      <w:r>
        <w:rPr>
          <w:rtl/>
          <w:lang w:val="en-US"/>
        </w:rPr>
        <w:t>.</w:t>
      </w:r>
      <w:r>
        <w:t xml:space="preserve"> </w:t>
      </w:r>
    </w:p>
    <w:p>
      <w:pPr>
        <w:pStyle w:val="style0"/>
        <w:bidi/>
        <w:jc w:val="both"/>
        <w:rPr>
          <w:b/>
          <w:bCs/>
          <w:rtl/>
        </w:rPr>
      </w:pPr>
    </w:p>
    <w:p>
      <w:pPr>
        <w:pStyle w:val="style0"/>
        <w:bidi/>
        <w:jc w:val="both"/>
        <w:rPr>
          <w:b/>
          <w:bCs/>
        </w:rPr>
      </w:pPr>
      <w:r>
        <w:rPr>
          <w:b/>
          <w:bCs/>
          <w:rtl/>
        </w:rPr>
        <w:t>تعليم أسس ومهارات الإدارة الطبية</w:t>
      </w:r>
    </w:p>
    <w:p>
      <w:pPr>
        <w:pStyle w:val="style0"/>
        <w:bidi/>
        <w:jc w:val="both"/>
        <w:rPr/>
      </w:pPr>
      <w:r>
        <w:rPr>
          <w:rtl/>
        </w:rPr>
        <w:t>بالإضافة إلى ذلك، يقدم القسم تدريبًا شاملاً في أسس ومهارات الإدارة الطبية. يتعلم الطلاب كيفية إدارة المؤسسات الصحية بكفاءة، بما في ذلك التخطيط الاستراتيجي، وإدارة الموارد البشرية، وإدارة الجودة، والقيادة في المجال الصحي</w:t>
      </w:r>
      <w:r>
        <w:t xml:space="preserve">. </w:t>
      </w:r>
    </w:p>
    <w:p>
      <w:pPr>
        <w:pStyle w:val="style0"/>
        <w:bidi/>
        <w:jc w:val="both"/>
        <w:rPr>
          <w:b/>
          <w:bCs/>
        </w:rPr>
      </w:pPr>
      <w:r>
        <w:rPr>
          <w:b/>
          <w:bCs/>
          <w:rtl/>
        </w:rPr>
        <w:t>الدرجات العلمية التي يمنحها القسم</w:t>
      </w:r>
    </w:p>
    <w:p>
      <w:pPr>
        <w:pStyle w:val="style0"/>
        <w:bidi/>
        <w:jc w:val="both"/>
        <w:rPr>
          <w:rtl/>
        </w:rPr>
      </w:pPr>
      <w:r>
        <w:rPr>
          <w:rtl/>
        </w:rPr>
        <w:t>يمنح العديد من الدرجات العلمية المتقدمة، والتي تشمل</w:t>
      </w:r>
      <w:r>
        <w:t>:</w:t>
      </w:r>
      <w:r>
        <w:rPr>
          <w:rtl/>
        </w:rPr>
        <w:t>ماجستير الصحة العامة وطب المجتمع</w:t>
      </w:r>
      <w:r>
        <w:rPr>
          <w:rFonts w:hint="cs"/>
          <w:rtl/>
        </w:rPr>
        <w:t xml:space="preserve"> و </w:t>
      </w:r>
      <w:r>
        <w:rPr>
          <w:rtl/>
        </w:rPr>
        <w:t>دكتوراه الصحة العامة وطب المجتمع</w:t>
      </w:r>
      <w:r>
        <w:rPr>
          <w:rFonts w:hint="cs"/>
          <w:rtl/>
        </w:rPr>
        <w:t xml:space="preserve"> و</w:t>
      </w:r>
      <w:r>
        <w:rPr>
          <w:rtl/>
        </w:rPr>
        <w:t>ماجستير الطب المهني والبيئي</w:t>
      </w:r>
      <w:r>
        <w:rPr>
          <w:rFonts w:hint="cs"/>
          <w:rtl/>
        </w:rPr>
        <w:t xml:space="preserve"> </w:t>
      </w:r>
      <w:r>
        <w:rPr>
          <w:rtl/>
        </w:rPr>
        <w:t>دكتوراه الطب المهني والبيئي</w:t>
      </w:r>
      <w:r>
        <w:rPr>
          <w:rFonts w:hint="cs"/>
          <w:rtl/>
        </w:rPr>
        <w:t xml:space="preserve"> و </w:t>
      </w:r>
      <w:r>
        <w:rPr>
          <w:rtl/>
        </w:rPr>
        <w:t>ماجستير الوبائيات الإكلينيكية</w:t>
      </w:r>
    </w:p>
    <w:p>
      <w:pPr>
        <w:pStyle w:val="style0"/>
        <w:bidi/>
        <w:jc w:val="both"/>
        <w:rPr>
          <w:b/>
          <w:bCs/>
        </w:rPr>
      </w:pPr>
      <w:r>
        <w:rPr>
          <w:b/>
          <w:bCs/>
          <w:rtl/>
        </w:rPr>
        <w:t>المهارات والجدارات المكتسبة</w:t>
      </w:r>
    </w:p>
    <w:p>
      <w:pPr>
        <w:pStyle w:val="style0"/>
        <w:bidi/>
        <w:jc w:val="both"/>
        <w:rPr/>
      </w:pPr>
      <w:r>
        <w:rPr>
          <w:rtl/>
        </w:rPr>
        <w:t>من خلال هذه الأنشطة المتنوعة، يكتسب الأطباء المهارات والجدارات التالية</w:t>
      </w:r>
      <w:r>
        <w:t>:</w:t>
      </w:r>
    </w:p>
    <w:p>
      <w:pPr>
        <w:pStyle w:val="style0"/>
        <w:numPr>
          <w:ilvl w:val="0"/>
          <w:numId w:val="1"/>
        </w:numPr>
        <w:bidi/>
        <w:jc w:val="both"/>
        <w:rPr/>
      </w:pPr>
      <w:r>
        <w:rPr>
          <w:b/>
          <w:bCs/>
          <w:rtl/>
        </w:rPr>
        <w:t>التفكير النقدي والتحليلي</w:t>
      </w:r>
      <w:r>
        <w:t xml:space="preserve">: </w:t>
      </w:r>
      <w:r>
        <w:rPr>
          <w:rtl/>
        </w:rPr>
        <w:t>القدرة على تحليل البيانات الصحية وتفسيرها لاتخاذ قرارات مستنيرة</w:t>
      </w:r>
      <w:r>
        <w:t>.</w:t>
      </w:r>
    </w:p>
    <w:p>
      <w:pPr>
        <w:pStyle w:val="style0"/>
        <w:numPr>
          <w:ilvl w:val="0"/>
          <w:numId w:val="1"/>
        </w:numPr>
        <w:bidi/>
        <w:jc w:val="both"/>
        <w:rPr/>
      </w:pPr>
      <w:r>
        <w:rPr>
          <w:b/>
          <w:bCs/>
          <w:rtl/>
        </w:rPr>
        <w:t>التواصل الفعال</w:t>
      </w:r>
      <w:r>
        <w:t xml:space="preserve">: </w:t>
      </w:r>
      <w:r>
        <w:rPr>
          <w:rtl/>
        </w:rPr>
        <w:t>مهارات التواصل مع المرضى وأفراد المجتمع والعاملين في المجال الصحي</w:t>
      </w:r>
      <w:r>
        <w:t>.</w:t>
      </w:r>
    </w:p>
    <w:p>
      <w:pPr>
        <w:pStyle w:val="style0"/>
        <w:numPr>
          <w:ilvl w:val="0"/>
          <w:numId w:val="1"/>
        </w:numPr>
        <w:bidi/>
        <w:jc w:val="both"/>
        <w:rPr/>
      </w:pPr>
      <w:r>
        <w:rPr>
          <w:b/>
          <w:bCs/>
          <w:rtl/>
        </w:rPr>
        <w:t>إدارة الأوبئة</w:t>
      </w:r>
      <w:r>
        <w:t xml:space="preserve">: </w:t>
      </w:r>
      <w:r>
        <w:rPr>
          <w:rtl/>
        </w:rPr>
        <w:t>القدرة على التخطيط والتنفيذ الفعال لبرامج الوقاية من الأمراض والسيطرة على الأوبئة</w:t>
      </w:r>
      <w:r>
        <w:t>.</w:t>
      </w:r>
    </w:p>
    <w:p>
      <w:pPr>
        <w:pStyle w:val="style0"/>
        <w:numPr>
          <w:ilvl w:val="0"/>
          <w:numId w:val="1"/>
        </w:numPr>
        <w:bidi/>
        <w:jc w:val="both"/>
        <w:rPr/>
      </w:pPr>
      <w:r>
        <w:rPr>
          <w:b/>
          <w:bCs/>
          <w:rtl/>
        </w:rPr>
        <w:t>التعليم والتدريب</w:t>
      </w:r>
      <w:r>
        <w:t xml:space="preserve">: </w:t>
      </w:r>
      <w:r>
        <w:rPr>
          <w:rtl/>
        </w:rPr>
        <w:t>مهارات تعليم وتدريب العاملين في المجال الصحي والمجتمع</w:t>
      </w:r>
      <w:r>
        <w:t>.</w:t>
      </w:r>
    </w:p>
    <w:p>
      <w:pPr>
        <w:pStyle w:val="style0"/>
        <w:numPr>
          <w:ilvl w:val="0"/>
          <w:numId w:val="1"/>
        </w:numPr>
        <w:bidi/>
        <w:jc w:val="both"/>
        <w:rPr/>
      </w:pPr>
      <w:r>
        <w:rPr>
          <w:b/>
          <w:bCs/>
          <w:rtl/>
        </w:rPr>
        <w:t>البحث العلمي</w:t>
      </w:r>
      <w:r>
        <w:t xml:space="preserve">: </w:t>
      </w:r>
      <w:r>
        <w:rPr>
          <w:rtl/>
        </w:rPr>
        <w:t>القدرة على تصميم وتنفيذ أبحاث علمية تساهم في تحسين الصحة العامة</w:t>
      </w:r>
      <w:r>
        <w:t>.</w:t>
      </w:r>
    </w:p>
    <w:p>
      <w:pPr>
        <w:pStyle w:val="style0"/>
        <w:numPr>
          <w:ilvl w:val="0"/>
          <w:numId w:val="1"/>
        </w:numPr>
        <w:bidi/>
        <w:jc w:val="both"/>
        <w:rPr/>
      </w:pPr>
      <w:r>
        <w:rPr>
          <w:b/>
          <w:bCs/>
          <w:rtl/>
        </w:rPr>
        <w:t>الإحصاء الطبي</w:t>
      </w:r>
      <w:r>
        <w:t xml:space="preserve">: </w:t>
      </w:r>
      <w:r>
        <w:rPr>
          <w:rtl/>
        </w:rPr>
        <w:t>مهارات جمع وتحليل البيانات الصحية واستخدامها في اتخاذ القرارات الطبية</w:t>
      </w:r>
      <w:r>
        <w:t>.</w:t>
      </w:r>
    </w:p>
    <w:p>
      <w:pPr>
        <w:pStyle w:val="style0"/>
        <w:numPr>
          <w:ilvl w:val="0"/>
          <w:numId w:val="1"/>
        </w:numPr>
        <w:bidi/>
        <w:jc w:val="both"/>
        <w:rPr/>
      </w:pPr>
      <w:r>
        <w:rPr>
          <w:b/>
          <w:bCs/>
          <w:rtl/>
        </w:rPr>
        <w:t>الإدارة الطبية</w:t>
      </w:r>
      <w:r>
        <w:t xml:space="preserve">: </w:t>
      </w:r>
      <w:r>
        <w:rPr>
          <w:rtl/>
        </w:rPr>
        <w:t>مهارات إدارة المؤسسات الصحية وتحسين جودة الرعاية الصحية</w:t>
      </w:r>
      <w:r>
        <w:t>.</w:t>
      </w:r>
    </w:p>
    <w:p>
      <w:pPr>
        <w:pStyle w:val="style0"/>
        <w:bidi/>
        <w:jc w:val="both"/>
        <w:rPr/>
      </w:pPr>
      <w:r>
        <w:rPr>
          <w:rtl/>
        </w:rPr>
        <w:t>قسم الصحة العامة وطب المجتمع في جامعة الزقازيق يلعب دورًا محوريًا في إعداد أطباء مؤهلين قادرين على تحسين الصحة العامة وخدمة المجتمع بفعالية. من خلال التعليم، والمشاركات المجتمعية، والأبحاث العلمية، والنزلات الميدانية، يسهم القسم في بناء نظام صحي قوي ومستدام</w:t>
      </w:r>
      <w:r>
        <w:t>.</w:t>
      </w:r>
    </w:p>
    <w:p>
      <w:pPr>
        <w:pStyle w:val="style0"/>
        <w:bidi/>
        <w:jc w:val="both"/>
        <w:rPr/>
      </w:pPr>
    </w:p>
    <w:sectPr>
      <w:pgSz w:w="12240" w:h="15840" w:orient="portrait"/>
      <w:pgMar w:top="1440" w:right="1440" w:bottom="1440" w:left="1440" w:header="720" w:footer="720" w:gutter="0"/>
      <w:pgBorders w:zOrder="front" w:display="allPage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ptos">
    <w:altName w:val="Aptos"/>
    <w:panose1 w:val="00000000000000000000"/>
    <w:charset w:val="00"/>
    <w:family w:val="swiss"/>
    <w:pitch w:val="variable"/>
    <w:sig w:usb0="20000287" w:usb1="00000003" w:usb2="00000000" w:usb3="00000000" w:csb0="0000019F" w:csb1="00000000"/>
  </w:font>
  <w:font w:name="Arial">
    <w:altName w:val="Arial"/>
    <w:panose1 w:val="020b0604020002020204"/>
    <w:charset w:val="00"/>
    <w:family w:val="swiss"/>
    <w:pitch w:val="variable"/>
    <w:sig w:usb0="E0002EFF" w:usb1="C000785B" w:usb2="00000009" w:usb3="00000000" w:csb0="000001FF" w:csb1="00000000"/>
  </w:font>
  <w:font w:name="Aptos Display">
    <w:altName w:val="Aptos Display"/>
    <w:panose1 w:val="00000000000000000000"/>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3702ADB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
    <w:nsid w:val="00000001"/>
    <w:multiLevelType w:val="multilevel"/>
    <w:tmpl w:val="0FF6B5F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ptos" w:cs="Arial" w:eastAsia="Aptos" w:hAnsi="Aptos"/>
        <w:kern w:val="2"/>
        <w:sz w:val="24"/>
        <w:szCs w:val="24"/>
        <w:lang w:val="en-US" w:bidi="ar-SA" w:eastAsia="en-US"/>
        <w14:ligatures xmlns:w14="http://schemas.microsoft.com/office/word/2010/wordml" w14:val="standardContextual"/>
      </w:rPr>
    </w:rPrDefault>
    <w:pPrDefault>
      <w:pPr>
        <w:spacing w:after="160" w:lineRule="auto" w:line="278"/>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Aptos Display" w:cs="Times New Roman" w:eastAsia="宋体" w:hAnsi="Aptos Display"/>
      <w:color w:val="0f4761"/>
      <w:sz w:val="40"/>
      <w:szCs w:val="40"/>
    </w:rPr>
  </w:style>
  <w:style w:type="paragraph" w:styleId="style2">
    <w:name w:val="heading 2"/>
    <w:basedOn w:val="style0"/>
    <w:next w:val="style0"/>
    <w:link w:val="style4098"/>
    <w:qFormat/>
    <w:uiPriority w:val="9"/>
    <w:pPr>
      <w:keepNext/>
      <w:keepLines/>
      <w:spacing w:before="160" w:after="80"/>
      <w:outlineLvl w:val="1"/>
    </w:pPr>
    <w:rPr>
      <w:rFonts w:ascii="Aptos Display" w:cs="Times New Roman" w:eastAsia="宋体" w:hAnsi="Aptos Display"/>
      <w:color w:val="0f4761"/>
      <w:sz w:val="32"/>
      <w:szCs w:val="32"/>
    </w:rPr>
  </w:style>
  <w:style w:type="paragraph" w:styleId="style3">
    <w:name w:val="heading 3"/>
    <w:basedOn w:val="style0"/>
    <w:next w:val="style0"/>
    <w:link w:val="style4099"/>
    <w:qFormat/>
    <w:uiPriority w:val="9"/>
    <w:pPr>
      <w:keepNext/>
      <w:keepLines/>
      <w:spacing w:before="160" w:after="80"/>
      <w:outlineLvl w:val="2"/>
    </w:pPr>
    <w:rPr>
      <w:rFonts w:cs="Times New Roman" w:eastAsia="宋体"/>
      <w:color w:val="0f4761"/>
      <w:sz w:val="28"/>
      <w:szCs w:val="28"/>
    </w:rPr>
  </w:style>
  <w:style w:type="paragraph" w:styleId="style4">
    <w:name w:val="heading 4"/>
    <w:basedOn w:val="style0"/>
    <w:next w:val="style0"/>
    <w:link w:val="style4100"/>
    <w:qFormat/>
    <w:uiPriority w:val="9"/>
    <w:pPr>
      <w:keepNext/>
      <w:keepLines/>
      <w:spacing w:before="80" w:after="40"/>
      <w:outlineLvl w:val="3"/>
    </w:pPr>
    <w:rPr>
      <w:rFonts w:cs="Times New Roman" w:eastAsia="宋体"/>
      <w:i/>
      <w:iCs/>
      <w:color w:val="0f4761"/>
    </w:rPr>
  </w:style>
  <w:style w:type="paragraph" w:styleId="style5">
    <w:name w:val="heading 5"/>
    <w:basedOn w:val="style0"/>
    <w:next w:val="style0"/>
    <w:link w:val="style4101"/>
    <w:qFormat/>
    <w:uiPriority w:val="9"/>
    <w:pPr>
      <w:keepNext/>
      <w:keepLines/>
      <w:spacing w:before="80" w:after="40"/>
      <w:outlineLvl w:val="4"/>
    </w:pPr>
    <w:rPr>
      <w:rFonts w:cs="Times New Roman" w:eastAsia="宋体"/>
      <w:color w:val="0f4761"/>
    </w:rPr>
  </w:style>
  <w:style w:type="paragraph" w:styleId="style6">
    <w:name w:val="heading 6"/>
    <w:basedOn w:val="style0"/>
    <w:next w:val="style0"/>
    <w:link w:val="style4102"/>
    <w:qFormat/>
    <w:uiPriority w:val="9"/>
    <w:pPr>
      <w:keepNext/>
      <w:keepLines/>
      <w:spacing w:before="40" w:after="0"/>
      <w:outlineLvl w:val="5"/>
    </w:pPr>
    <w:rPr>
      <w:rFonts w:cs="Times New Roman"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Times New Roman" w:eastAsia="宋体"/>
      <w:color w:val="595959"/>
    </w:rPr>
  </w:style>
  <w:style w:type="paragraph" w:styleId="style8">
    <w:name w:val="heading 8"/>
    <w:basedOn w:val="style0"/>
    <w:next w:val="style0"/>
    <w:link w:val="style4104"/>
    <w:qFormat/>
    <w:uiPriority w:val="9"/>
    <w:pPr>
      <w:keepNext/>
      <w:keepLines/>
      <w:spacing w:after="0"/>
      <w:outlineLvl w:val="7"/>
    </w:pPr>
    <w:rPr>
      <w:rFonts w:cs="Times New Roman" w:eastAsia="宋体"/>
      <w:i/>
      <w:iCs/>
      <w:color w:val="272727"/>
    </w:rPr>
  </w:style>
  <w:style w:type="paragraph" w:styleId="style9">
    <w:name w:val="heading 9"/>
    <w:basedOn w:val="style0"/>
    <w:next w:val="style0"/>
    <w:link w:val="style4105"/>
    <w:qFormat/>
    <w:uiPriority w:val="9"/>
    <w:pPr>
      <w:keepNext/>
      <w:keepLines/>
      <w:spacing w:after="0"/>
      <w:outlineLvl w:val="8"/>
    </w:pPr>
    <w:rPr>
      <w:rFonts w:cs="Times New Roman"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5a5a8d87-9773-46ff-8e79-751de2eb4bac"/>
    <w:basedOn w:val="style65"/>
    <w:next w:val="style4097"/>
    <w:link w:val="style1"/>
    <w:uiPriority w:val="9"/>
    <w:rPr>
      <w:rFonts w:ascii="Aptos Display" w:cs="Times New Roman" w:eastAsia="宋体" w:hAnsi="Aptos Display"/>
      <w:color w:val="0f4761"/>
      <w:sz w:val="40"/>
      <w:szCs w:val="40"/>
    </w:rPr>
  </w:style>
  <w:style w:type="character" w:customStyle="1" w:styleId="style4098">
    <w:name w:val="Heading 2 Char_bbb456fc-31e3-40a7-ae46-fceafaf2ad76"/>
    <w:basedOn w:val="style65"/>
    <w:next w:val="style4098"/>
    <w:link w:val="style2"/>
    <w:uiPriority w:val="9"/>
    <w:rPr>
      <w:rFonts w:ascii="Aptos Display" w:cs="Times New Roman" w:eastAsia="宋体" w:hAnsi="Aptos Display"/>
      <w:color w:val="0f4761"/>
      <w:sz w:val="32"/>
      <w:szCs w:val="32"/>
    </w:rPr>
  </w:style>
  <w:style w:type="character" w:customStyle="1" w:styleId="style4099">
    <w:name w:val="Heading 3 Char_4756ca3d-5f21-4d9b-bfe4-48ad5a6159df"/>
    <w:basedOn w:val="style65"/>
    <w:next w:val="style4099"/>
    <w:link w:val="style3"/>
    <w:uiPriority w:val="9"/>
    <w:rPr>
      <w:rFonts w:cs="Times New Roman" w:eastAsia="宋体"/>
      <w:color w:val="0f4761"/>
      <w:sz w:val="28"/>
      <w:szCs w:val="28"/>
    </w:rPr>
  </w:style>
  <w:style w:type="character" w:customStyle="1" w:styleId="style4100">
    <w:name w:val="Heading 4 Char_f91a88c8-35f7-4f62-a0fd-e8ea5a1473da"/>
    <w:basedOn w:val="style65"/>
    <w:next w:val="style4100"/>
    <w:link w:val="style4"/>
    <w:uiPriority w:val="9"/>
    <w:rPr>
      <w:rFonts w:cs="Times New Roman" w:eastAsia="宋体"/>
      <w:i/>
      <w:iCs/>
      <w:color w:val="0f4761"/>
    </w:rPr>
  </w:style>
  <w:style w:type="character" w:customStyle="1" w:styleId="style4101">
    <w:name w:val="Heading 5 Char_61a736fc-7fb0-4782-9dba-ec0965b4256d"/>
    <w:basedOn w:val="style65"/>
    <w:next w:val="style4101"/>
    <w:link w:val="style5"/>
    <w:uiPriority w:val="9"/>
    <w:rPr>
      <w:rFonts w:cs="Times New Roman" w:eastAsia="宋体"/>
      <w:color w:val="0f4761"/>
    </w:rPr>
  </w:style>
  <w:style w:type="character" w:customStyle="1" w:styleId="style4102">
    <w:name w:val="Heading 6 Char_cf8b57c4-97ff-41ef-a35d-d2ee152c38fc"/>
    <w:basedOn w:val="style65"/>
    <w:next w:val="style4102"/>
    <w:link w:val="style6"/>
    <w:uiPriority w:val="9"/>
    <w:rPr>
      <w:rFonts w:cs="Times New Roman" w:eastAsia="宋体"/>
      <w:i/>
      <w:iCs/>
      <w:color w:val="595959"/>
    </w:rPr>
  </w:style>
  <w:style w:type="character" w:customStyle="1" w:styleId="style4103">
    <w:name w:val="Heading 7 Char_4227a2ac-9032-4767-97f2-017c152c5235"/>
    <w:basedOn w:val="style65"/>
    <w:next w:val="style4103"/>
    <w:link w:val="style7"/>
    <w:uiPriority w:val="9"/>
    <w:rPr>
      <w:rFonts w:cs="Times New Roman" w:eastAsia="宋体"/>
      <w:color w:val="595959"/>
    </w:rPr>
  </w:style>
  <w:style w:type="character" w:customStyle="1" w:styleId="style4104">
    <w:name w:val="Heading 8 Char_3dec5b5e-2261-4dd1-9f1f-823975fa9986"/>
    <w:basedOn w:val="style65"/>
    <w:next w:val="style4104"/>
    <w:link w:val="style8"/>
    <w:uiPriority w:val="9"/>
    <w:rPr>
      <w:rFonts w:cs="Times New Roman" w:eastAsia="宋体"/>
      <w:i/>
      <w:iCs/>
      <w:color w:val="272727"/>
    </w:rPr>
  </w:style>
  <w:style w:type="character" w:customStyle="1" w:styleId="style4105">
    <w:name w:val="Heading 9 Char_4bbd67d0-f1c5-47e8-ad7c-dd3be2aae0ae"/>
    <w:basedOn w:val="style65"/>
    <w:next w:val="style4105"/>
    <w:link w:val="style9"/>
    <w:uiPriority w:val="9"/>
    <w:rPr>
      <w:rFonts w:cs="Times New Roman" w:eastAsia="宋体"/>
      <w:color w:val="272727"/>
    </w:rPr>
  </w:style>
  <w:style w:type="paragraph" w:styleId="style62">
    <w:name w:val="Title"/>
    <w:basedOn w:val="style0"/>
    <w:next w:val="style0"/>
    <w:link w:val="style4106"/>
    <w:qFormat/>
    <w:uiPriority w:val="10"/>
    <w:pPr>
      <w:spacing w:after="80" w:lineRule="auto" w:line="240"/>
      <w:contextualSpacing/>
    </w:pPr>
    <w:rPr>
      <w:rFonts w:ascii="Aptos Display" w:cs="Times New Roman" w:eastAsia="宋体" w:hAnsi="Aptos Display"/>
      <w:spacing w:val="-10"/>
      <w:kern w:val="28"/>
      <w:sz w:val="56"/>
      <w:szCs w:val="56"/>
    </w:rPr>
  </w:style>
  <w:style w:type="character" w:customStyle="1" w:styleId="style4106">
    <w:name w:val="Title Char_fdc60ae1-8af9-4f6e-bd17-2d50335fae5c"/>
    <w:basedOn w:val="style65"/>
    <w:next w:val="style4106"/>
    <w:link w:val="style62"/>
    <w:uiPriority w:val="10"/>
    <w:rPr>
      <w:rFonts w:ascii="Aptos Display" w:cs="Times New Roman" w:eastAsia="宋体" w:hAnsi="Aptos Display"/>
      <w:spacing w:val="-10"/>
      <w:kern w:val="28"/>
      <w:sz w:val="56"/>
      <w:szCs w:val="56"/>
    </w:rPr>
  </w:style>
  <w:style w:type="paragraph" w:styleId="style74">
    <w:name w:val="Subtitle"/>
    <w:basedOn w:val="style0"/>
    <w:next w:val="style0"/>
    <w:link w:val="style4107"/>
    <w:qFormat/>
    <w:uiPriority w:val="11"/>
    <w:pPr>
      <w:numPr>
        <w:ilvl w:val="1"/>
        <w:numId w:val="0"/>
      </w:numPr>
    </w:pPr>
    <w:rPr>
      <w:rFonts w:cs="Times New Roman" w:eastAsia="宋体"/>
      <w:color w:val="595959"/>
      <w:spacing w:val="15"/>
      <w:sz w:val="28"/>
      <w:szCs w:val="28"/>
    </w:rPr>
  </w:style>
  <w:style w:type="character" w:customStyle="1" w:styleId="style4107">
    <w:name w:val="Subtitle Char"/>
    <w:basedOn w:val="style65"/>
    <w:next w:val="style4107"/>
    <w:link w:val="style74"/>
    <w:uiPriority w:val="11"/>
    <w:rPr>
      <w:rFonts w:cs="Times New Roman" w:eastAsia="宋体"/>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Quote Char_45dfdf74-1143-43db-8cba-5f5302e5bd01"/>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0f4761"/>
    </w:rPr>
  </w:style>
  <w:style w:type="paragraph" w:styleId="style181">
    <w:name w:val="Intense Quote"/>
    <w:basedOn w:val="style0"/>
    <w:next w:val="style0"/>
    <w:link w:val="style4109"/>
    <w:qFormat/>
    <w:uiPriority w:val="30"/>
    <w:pPr>
      <w:pBdr>
        <w:top w:val="single" w:sz="4" w:space="10" w:color="0f4761"/>
        <w:bottom w:val="single" w:sz="4" w:space="10" w:color="0f4761"/>
      </w:pBdr>
      <w:spacing w:before="360" w:after="360"/>
      <w:ind w:left="864" w:right="864"/>
      <w:jc w:val="center"/>
    </w:pPr>
    <w:rPr>
      <w:i/>
      <w:iCs/>
      <w:color w:val="0f4761"/>
    </w:rPr>
  </w:style>
  <w:style w:type="character" w:customStyle="1" w:styleId="style4109">
    <w:name w:val="Intense Quote Char_807cfba6-6d30-45e5-abe0-579a42f28248"/>
    <w:basedOn w:val="style65"/>
    <w:next w:val="style4109"/>
    <w:link w:val="style181"/>
    <w:uiPriority w:val="30"/>
    <w:rPr>
      <w:i/>
      <w:iCs/>
      <w:color w:val="0f4761"/>
    </w:rPr>
  </w:style>
  <w:style w:type="character" w:styleId="style263">
    <w:name w:val="Intense Reference"/>
    <w:basedOn w:val="style65"/>
    <w:next w:val="style263"/>
    <w:qFormat/>
    <w:uiPriority w:val="32"/>
    <w:rPr>
      <w:b/>
      <w:bCs/>
      <w:smallCaps/>
      <w:color w:val="0f4761"/>
      <w:spacing w:val="5"/>
    </w:rPr>
  </w:style>
  <w:style w:type="character" w:styleId="style85">
    <w:name w:val="Hyperlink"/>
    <w:basedOn w:val="style65"/>
    <w:next w:val="style85"/>
    <w:uiPriority w:val="99"/>
    <w:rPr>
      <w:color w:val="467886"/>
      <w:u w:val="single"/>
    </w:rPr>
  </w:style>
  <w:style w:type="character" w:customStyle="1" w:styleId="style4110">
    <w:name w:val="Unresolved Mention"/>
    <w:basedOn w:val="style65"/>
    <w:next w:val="style4110"/>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Words>525</Words>
  <Pages>2</Pages>
  <Characters>2952</Characters>
  <Application>WPS Office</Application>
  <DocSecurity>0</DocSecurity>
  <Paragraphs>32</Paragraphs>
  <ScaleCrop>false</ScaleCrop>
  <LinksUpToDate>false</LinksUpToDate>
  <CharactersWithSpaces>3453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٢٠٢٤-١١-١٢T١٥:٣١:٠٠Z</dcterms:created>
  <dc:creator>LLMohammed</dc:creator>
  <lastModifiedBy>SM-A346E</lastModifiedBy>
  <dcterms:modified xsi:type="dcterms:W3CDTF">٢٠٢٤-١١-١٢T١٩:٣٨:٤٧Z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d967a9bc9b3a4d40a73e26b2c59927f4</vt:lpwstr>
  </property>
</Properties>
</file>